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Nowoczesne CV Blue</w:t>
      </w:r>
    </w:p>
    <w:p>
      <w:pPr>
        <w:pStyle w:val="Subtitle"/>
      </w:pPr>
      <w:r>
        <w:t xml:space="preserve">Dwukolumnowy wzor dla frontend developera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[React] | [TypeScript] | [Svelte] | [Tailwind] | [Vitest]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2563EB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2563EB"/>
      </w:pBdr>
    </w:pPr>
    <w:rPr>
      <w:rFonts w:ascii="Calibri" w:hAnsi="Calibri"/>
      <w:b/>
      <w:sz w:val="24"/>
      <w:color w:val="2563EB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